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404D" w:rsidRDefault="00E26BD7">
      <w:pPr>
        <w:rPr>
          <w:b/>
        </w:rPr>
      </w:pPr>
      <w:r>
        <w:rPr>
          <w:b/>
        </w:rPr>
        <w:t xml:space="preserve">The Belfast Ensemble </w:t>
      </w:r>
      <w:r>
        <w:rPr>
          <w:b/>
        </w:rPr>
        <w:br/>
        <w:t>Pay and Conditions for Artists working in Ireland</w:t>
      </w:r>
    </w:p>
    <w:p w14:paraId="00000002" w14:textId="77777777" w:rsidR="00B8404D" w:rsidRDefault="00B8404D"/>
    <w:p w14:paraId="00000003" w14:textId="77777777" w:rsidR="00B8404D" w:rsidRDefault="00E26BD7">
      <w:pPr>
        <w:rPr>
          <w:b/>
        </w:rPr>
      </w:pPr>
      <w:r>
        <w:rPr>
          <w:b/>
        </w:rPr>
        <w:t>ARTISTS’ PAY POLICY</w:t>
      </w:r>
    </w:p>
    <w:p w14:paraId="00000004" w14:textId="77777777" w:rsidR="00B8404D" w:rsidRDefault="00B8404D">
      <w:pPr>
        <w:rPr>
          <w:rFonts w:ascii="Calibri" w:eastAsia="Calibri" w:hAnsi="Calibri" w:cs="Calibri"/>
          <w:sz w:val="24"/>
          <w:szCs w:val="24"/>
        </w:rPr>
      </w:pPr>
    </w:p>
    <w:p w14:paraId="00000005" w14:textId="628F2FE9" w:rsidR="00B8404D" w:rsidRDefault="00E26BD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Belfast Ensemble is a highly active non-profit music-theatre company that produces award-winning programming. With an emphasis on ‘new music’ and ensemble practice performance, it produces highly ambitious premieres of contemporary classical music acro</w:t>
      </w:r>
      <w:r>
        <w:rPr>
          <w:rFonts w:ascii="Calibri" w:eastAsia="Calibri" w:hAnsi="Calibri" w:cs="Calibri"/>
          <w:sz w:val="24"/>
          <w:szCs w:val="24"/>
        </w:rPr>
        <w:t>ss many fields including theatre, opera, work for young audiences and live digital/multimedia. We place Artists at the heart of what we do and are committed</w:t>
      </w:r>
      <w:r>
        <w:rPr>
          <w:rFonts w:ascii="Calibri" w:eastAsia="Calibri" w:hAnsi="Calibri" w:cs="Calibri"/>
          <w:sz w:val="24"/>
          <w:szCs w:val="24"/>
        </w:rPr>
        <w:t xml:space="preserve"> to advancing the living and working conditions for artists by ensuring best practice and fair renu</w:t>
      </w:r>
      <w:r>
        <w:rPr>
          <w:rFonts w:ascii="Calibri" w:eastAsia="Calibri" w:hAnsi="Calibri" w:cs="Calibri"/>
          <w:sz w:val="24"/>
          <w:szCs w:val="24"/>
        </w:rPr>
        <w:t xml:space="preserve">meration for artists and arts workers who contribute to activities across the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06" w14:textId="77777777" w:rsidR="00B8404D" w:rsidRDefault="00B8404D">
      <w:pPr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B8404D" w:rsidRDefault="00E26BD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PRINCIPLES</w:t>
      </w:r>
      <w:r>
        <w:rPr>
          <w:rFonts w:ascii="Calibri" w:eastAsia="Calibri" w:hAnsi="Calibri" w:cs="Calibri"/>
          <w:sz w:val="24"/>
          <w:szCs w:val="24"/>
        </w:rPr>
        <w:br/>
        <w:t xml:space="preserve">Our commitment to Artist’s Pay is directly informed by the value-based principles presented in </w:t>
      </w:r>
      <w:r>
        <w:rPr>
          <w:rFonts w:ascii="Calibri" w:eastAsia="Calibri" w:hAnsi="Calibri" w:cs="Calibri"/>
          <w:i/>
          <w:sz w:val="24"/>
          <w:szCs w:val="24"/>
        </w:rPr>
        <w:t>Paying the Artist: An Arts Council policy on the fair an</w:t>
      </w:r>
      <w:r>
        <w:rPr>
          <w:rFonts w:ascii="Calibri" w:eastAsia="Calibri" w:hAnsi="Calibri" w:cs="Calibri"/>
          <w:i/>
          <w:sz w:val="24"/>
          <w:szCs w:val="24"/>
        </w:rPr>
        <w:t xml:space="preserve">d equitable remuneration and contracting of artists (2020) </w:t>
      </w:r>
      <w:r>
        <w:rPr>
          <w:rFonts w:ascii="Calibri" w:eastAsia="Calibri" w:hAnsi="Calibri" w:cs="Calibri"/>
          <w:sz w:val="24"/>
          <w:szCs w:val="24"/>
        </w:rPr>
        <w:t>which states:</w:t>
      </w:r>
      <w:r>
        <w:rPr>
          <w:rFonts w:ascii="Calibri" w:eastAsia="Calibri" w:hAnsi="Calibri" w:cs="Calibri"/>
          <w:sz w:val="24"/>
          <w:szCs w:val="24"/>
        </w:rPr>
        <w:br/>
        <w:t>• [We] value artists: we value the work that artists create, and the way in which they represent and contribute to the cultural life of the nation. This value must be better reflected</w:t>
      </w:r>
      <w:r>
        <w:rPr>
          <w:rFonts w:ascii="Calibri" w:eastAsia="Calibri" w:hAnsi="Calibri" w:cs="Calibri"/>
          <w:sz w:val="24"/>
          <w:szCs w:val="24"/>
        </w:rPr>
        <w:t xml:space="preserve"> in how we pay artists.</w:t>
      </w:r>
      <w:r>
        <w:rPr>
          <w:rFonts w:ascii="Calibri" w:eastAsia="Calibri" w:hAnsi="Calibri" w:cs="Calibri"/>
          <w:sz w:val="24"/>
          <w:szCs w:val="24"/>
        </w:rPr>
        <w:br/>
        <w:t>• We aspire to the position that best practice, not minimum standards, should apply to remuneration and contracting of artists across all artforms and disciplines.</w:t>
      </w:r>
      <w:r>
        <w:rPr>
          <w:rFonts w:ascii="Calibri" w:eastAsia="Calibri" w:hAnsi="Calibri" w:cs="Calibri"/>
          <w:sz w:val="24"/>
          <w:szCs w:val="24"/>
        </w:rPr>
        <w:br/>
        <w:t>• An artist’s ability to sustain a viable career within their chosen</w:t>
      </w:r>
      <w:r>
        <w:rPr>
          <w:rFonts w:ascii="Calibri" w:eastAsia="Calibri" w:hAnsi="Calibri" w:cs="Calibri"/>
          <w:sz w:val="24"/>
          <w:szCs w:val="24"/>
        </w:rPr>
        <w:t xml:space="preserve"> discipline is an essential feature of a healthy arts ecology. Improving standards in what artists are paid and how they are engaged is critical to this and, in particular, to ensuring a diversity of voices is represented within the arts.</w:t>
      </w:r>
      <w:r>
        <w:rPr>
          <w:rFonts w:ascii="Calibri" w:eastAsia="Calibri" w:hAnsi="Calibri" w:cs="Calibri"/>
          <w:sz w:val="24"/>
          <w:szCs w:val="24"/>
        </w:rPr>
        <w:br/>
        <w:t>• The underpaid o</w:t>
      </w:r>
      <w:r>
        <w:rPr>
          <w:rFonts w:ascii="Calibri" w:eastAsia="Calibri" w:hAnsi="Calibri" w:cs="Calibri"/>
          <w:sz w:val="24"/>
          <w:szCs w:val="24"/>
        </w:rPr>
        <w:t xml:space="preserve">r unpaid contributions of artists represent a hidden subsidy to the cultural life of Ireland; we </w:t>
      </w:r>
      <w:proofErr w:type="spellStart"/>
      <w:r>
        <w:rPr>
          <w:rFonts w:ascii="Calibri" w:eastAsia="Calibri" w:hAnsi="Calibri" w:cs="Calibri"/>
          <w:sz w:val="24"/>
          <w:szCs w:val="24"/>
        </w:rPr>
        <w:t>recognise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that this is unfair and unsustainable.</w:t>
      </w:r>
      <w:r>
        <w:rPr>
          <w:rFonts w:ascii="Calibri" w:eastAsia="Calibri" w:hAnsi="Calibri" w:cs="Calibri"/>
          <w:sz w:val="24"/>
          <w:szCs w:val="24"/>
        </w:rPr>
        <w:br/>
        <w:t xml:space="preserve">• We submit that where public funding is involved, fair and equitable remuneration is a matter of policy and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rioritisation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and, accordingly, should be factored into the budgeting process rather than being budget-dependent.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08" w14:textId="77777777" w:rsidR="00B8404D" w:rsidRDefault="00E26BD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BEST PRACTICE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We strive to deliver best practice as outlined in </w:t>
      </w:r>
      <w:r>
        <w:rPr>
          <w:rFonts w:ascii="Calibri" w:eastAsia="Calibri" w:hAnsi="Calibri" w:cs="Calibri"/>
          <w:i/>
          <w:sz w:val="24"/>
          <w:szCs w:val="24"/>
        </w:rPr>
        <w:t>Paying the Artist: An Arts Council policy on the fair and equitable remunera</w:t>
      </w:r>
      <w:r>
        <w:rPr>
          <w:rFonts w:ascii="Calibri" w:eastAsia="Calibri" w:hAnsi="Calibri" w:cs="Calibri"/>
          <w:i/>
          <w:sz w:val="24"/>
          <w:szCs w:val="24"/>
        </w:rPr>
        <w:t>tion and contracting of artists (2020):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Ensuring that a policy and approach agreed by board and management dealing with all aspects of engagement with artists are in place and available to artists and published on the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organisation’s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website.</w:t>
      </w:r>
      <w:r>
        <w:rPr>
          <w:rFonts w:ascii="Calibri" w:eastAsia="Calibri" w:hAnsi="Calibri" w:cs="Calibri"/>
          <w:sz w:val="24"/>
          <w:szCs w:val="24"/>
        </w:rPr>
        <w:br/>
        <w:t>• Being open</w:t>
      </w:r>
      <w:r>
        <w:rPr>
          <w:rFonts w:ascii="Calibri" w:eastAsia="Calibri" w:hAnsi="Calibri" w:cs="Calibri"/>
          <w:sz w:val="24"/>
          <w:szCs w:val="24"/>
        </w:rPr>
        <w:t xml:space="preserve">, transparent and upfront in communications with artists to ensure clarity from </w:t>
      </w:r>
      <w:r>
        <w:rPr>
          <w:rFonts w:ascii="Calibri" w:eastAsia="Calibri" w:hAnsi="Calibri" w:cs="Calibri"/>
          <w:sz w:val="24"/>
          <w:szCs w:val="24"/>
        </w:rPr>
        <w:lastRenderedPageBreak/>
        <w:t>both perspectives on the ask and the offer.</w:t>
      </w:r>
      <w:r>
        <w:rPr>
          <w:rFonts w:ascii="Calibri" w:eastAsia="Calibri" w:hAnsi="Calibri" w:cs="Calibri"/>
          <w:sz w:val="24"/>
          <w:szCs w:val="24"/>
        </w:rPr>
        <w:br/>
        <w:t>• Complying with rates, terms, practices and standards recommended by representative</w:t>
      </w:r>
    </w:p>
    <w:p w14:paraId="00000009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resource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organisations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and </w:t>
      </w:r>
      <w:proofErr w:type="spellStart"/>
      <w:r>
        <w:rPr>
          <w:rFonts w:ascii="Calibri" w:eastAsia="Calibri" w:hAnsi="Calibri" w:cs="Calibri"/>
          <w:sz w:val="24"/>
          <w:szCs w:val="24"/>
        </w:rPr>
        <w:t>utilising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avail</w:t>
      </w:r>
      <w:r>
        <w:rPr>
          <w:rFonts w:ascii="Calibri" w:eastAsia="Calibri" w:hAnsi="Calibri" w:cs="Calibri"/>
          <w:sz w:val="24"/>
          <w:szCs w:val="24"/>
        </w:rPr>
        <w:t>able toolkits and resources to support the</w:t>
      </w:r>
    </w:p>
    <w:p w14:paraId="0000000A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contracting process.</w:t>
      </w:r>
    </w:p>
    <w:p w14:paraId="0000000B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Aiming for continued improvement in rates, acknowledging the low base from which</w:t>
      </w:r>
    </w:p>
    <w:p w14:paraId="0000000C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current norms and standards are set and that minimum standards are not </w:t>
      </w:r>
      <w:proofErr w:type="gramStart"/>
      <w:r>
        <w:rPr>
          <w:rFonts w:ascii="Calibri" w:eastAsia="Calibri" w:hAnsi="Calibri" w:cs="Calibri"/>
          <w:sz w:val="24"/>
          <w:szCs w:val="24"/>
        </w:rPr>
        <w:t>an acceptable</w:t>
      </w:r>
      <w:proofErr w:type="gramEnd"/>
    </w:p>
    <w:p w14:paraId="0000000D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ambition.</w:t>
      </w:r>
    </w:p>
    <w:p w14:paraId="0000000E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Ensuring all</w:t>
      </w:r>
      <w:r>
        <w:rPr>
          <w:rFonts w:ascii="Calibri" w:eastAsia="Calibri" w:hAnsi="Calibri" w:cs="Calibri"/>
          <w:sz w:val="24"/>
          <w:szCs w:val="24"/>
        </w:rPr>
        <w:t xml:space="preserve"> engagements are covered by a contract.</w:t>
      </w:r>
    </w:p>
    <w:p w14:paraId="0000000F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Ensuring that remuneration and contracts reflect the full scope of what an artist is</w:t>
      </w:r>
    </w:p>
    <w:p w14:paraId="00000010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expected and required to deliver.</w:t>
      </w:r>
    </w:p>
    <w:p w14:paraId="00000011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Ensuring that artists and/or their representatives have a voice in negotiating terms and</w:t>
      </w:r>
    </w:p>
    <w:p w14:paraId="00000012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</w:t>
      </w:r>
      <w:r>
        <w:rPr>
          <w:rFonts w:ascii="Calibri" w:eastAsia="Calibri" w:hAnsi="Calibri" w:cs="Calibri"/>
          <w:sz w:val="24"/>
          <w:szCs w:val="24"/>
        </w:rPr>
        <w:t>itions.</w:t>
      </w:r>
    </w:p>
    <w:p w14:paraId="00000013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Being clear about the nature and status of an engagement—</w:t>
      </w:r>
      <w:proofErr w:type="gramStart"/>
      <w:r>
        <w:rPr>
          <w:rFonts w:ascii="Calibri" w:eastAsia="Calibri" w:hAnsi="Calibri" w:cs="Calibri"/>
          <w:sz w:val="24"/>
          <w:szCs w:val="24"/>
        </w:rPr>
        <w:t>i.e.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whether the contract is</w:t>
      </w:r>
    </w:p>
    <w:p w14:paraId="00000014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 employment contract or a contract for services— as well as any associated tax, social-</w:t>
      </w:r>
    </w:p>
    <w:p w14:paraId="00000015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security benefits/ obligations arising (</w:t>
      </w:r>
      <w:proofErr w:type="gramStart"/>
      <w:r>
        <w:rPr>
          <w:rFonts w:ascii="Calibri" w:eastAsia="Calibri" w:hAnsi="Calibri" w:cs="Calibri"/>
          <w:sz w:val="24"/>
          <w:szCs w:val="24"/>
        </w:rPr>
        <w:t>e.g.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holiday pay, PRSI, etc.)</w:t>
      </w:r>
    </w:p>
    <w:p w14:paraId="00000016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Ensuring that payments reflect and/or differentiate between fees and expenses, including</w:t>
      </w:r>
    </w:p>
    <w:p w14:paraId="00000017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 diems or other relevant payments.</w:t>
      </w:r>
    </w:p>
    <w:p w14:paraId="00000018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Being clear and upfront about how and when payments will be made; this should be set</w:t>
      </w:r>
    </w:p>
    <w:p w14:paraId="00000019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out in an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organisation’s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prompt-payment </w:t>
      </w:r>
      <w:r>
        <w:rPr>
          <w:rFonts w:ascii="Calibri" w:eastAsia="Calibri" w:hAnsi="Calibri" w:cs="Calibri"/>
          <w:sz w:val="24"/>
          <w:szCs w:val="24"/>
        </w:rPr>
        <w:t>policy.</w:t>
      </w:r>
    </w:p>
    <w:p w14:paraId="0000001A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Ensuring that artists’ fees are ring-fenced within project budgets </w:t>
      </w:r>
      <w:proofErr w:type="gramStart"/>
      <w:r>
        <w:rPr>
          <w:rFonts w:ascii="Calibri" w:eastAsia="Calibri" w:hAnsi="Calibri" w:cs="Calibri"/>
          <w:sz w:val="24"/>
          <w:szCs w:val="24"/>
        </w:rPr>
        <w:t>so as 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ensure they are</w:t>
      </w:r>
    </w:p>
    <w:p w14:paraId="0000001B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protected against budget overruns in other areas.</w:t>
      </w:r>
    </w:p>
    <w:p w14:paraId="0000001C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Ensuring that artists copyright is respected, both in terms of moral and economic rights.</w:t>
      </w:r>
    </w:p>
    <w:p w14:paraId="0000001D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Supporting artists to share in the economic life of what they create by ensuring that any</w:t>
      </w:r>
    </w:p>
    <w:p w14:paraId="0000001E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contractual arrangements for artists to benefit from the future exploitation of their work</w:t>
      </w:r>
    </w:p>
    <w:p w14:paraId="0000001F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appropriate and proportional and reflect the value of what the artist</w:t>
      </w:r>
      <w:r>
        <w:rPr>
          <w:rFonts w:ascii="Calibri" w:eastAsia="Calibri" w:hAnsi="Calibri" w:cs="Calibri"/>
          <w:sz w:val="24"/>
          <w:szCs w:val="24"/>
        </w:rPr>
        <w:t xml:space="preserve"> has created.</w:t>
      </w:r>
    </w:p>
    <w:p w14:paraId="00000020" w14:textId="77777777" w:rsidR="00B8404D" w:rsidRDefault="00B8404D">
      <w:pPr>
        <w:keepNext/>
        <w:spacing w:before="6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1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PROMPT PAYMENT POLICY</w:t>
      </w:r>
    </w:p>
    <w:p w14:paraId="00000022" w14:textId="77777777" w:rsidR="00B8404D" w:rsidRDefault="00E26BD7">
      <w:pPr>
        <w:keepNext/>
        <w:spacing w:before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payments are managed </w:t>
      </w:r>
      <w:proofErr w:type="gramStart"/>
      <w:r>
        <w:rPr>
          <w:rFonts w:ascii="Calibri" w:eastAsia="Calibri" w:hAnsi="Calibri" w:cs="Calibri"/>
          <w:sz w:val="24"/>
          <w:szCs w:val="24"/>
        </w:rPr>
        <w:t>internally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we aim to pay artists promptly. Fees are processed on receipt of an invoice and aim to be paid within 14 days. </w:t>
      </w:r>
    </w:p>
    <w:p w14:paraId="00000023" w14:textId="77777777" w:rsidR="00B8404D" w:rsidRDefault="00B8404D">
      <w:pPr>
        <w:rPr>
          <w:b/>
        </w:rPr>
      </w:pPr>
    </w:p>
    <w:p w14:paraId="00000024" w14:textId="77777777" w:rsidR="00B8404D" w:rsidRDefault="00E26BD7">
      <w:pPr>
        <w:rPr>
          <w:b/>
        </w:rPr>
      </w:pPr>
      <w:r>
        <w:rPr>
          <w:b/>
        </w:rPr>
        <w:t xml:space="preserve">This policy has been developed with reference to the Arts Council’s Policy </w:t>
      </w:r>
      <w:r>
        <w:rPr>
          <w:b/>
          <w:i/>
        </w:rPr>
        <w:t>Paying the Artist: An Arts C</w:t>
      </w:r>
      <w:r>
        <w:rPr>
          <w:b/>
          <w:i/>
        </w:rPr>
        <w:t xml:space="preserve">ouncil policy on fair and equitable remuneration and contracting of artists (2020) </w:t>
      </w:r>
      <w:r>
        <w:rPr>
          <w:b/>
        </w:rPr>
        <w:t xml:space="preserve">and was approved by the Board of Directors in March 2024. </w:t>
      </w:r>
    </w:p>
    <w:sectPr w:rsidR="00B840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4D"/>
    <w:rsid w:val="00B8404D"/>
    <w:rsid w:val="00E2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0BD84D6-4F1F-7E43-ADD5-84713D22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conor mitchell</cp:lastModifiedBy>
  <cp:revision>2</cp:revision>
  <dcterms:created xsi:type="dcterms:W3CDTF">2024-03-22T00:36:00Z</dcterms:created>
  <dcterms:modified xsi:type="dcterms:W3CDTF">2024-03-22T00:36:00Z</dcterms:modified>
</cp:coreProperties>
</file>